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Kierownik Jednostki Samorządu Terytorialnego (dalej JST) - w rozumieniu art. 33 ust. 3 Ustawy z dnia 8 marca 1990 r. o samorządzie gminnym  (tj. Dz. U. z 2022 r. poz. 559 , 583)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Data dostarczenia  zgodna z dyspozycją art. 61 pkt. 2 Ustawy Kodeks Cywilny (t.j. Dz. U. z 2020 r. poz. 1740)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W razie wątpliwości co do trybu jaki należy zastosować do naszego pisma - wnosimy o bezwzględne zastosowanie dyspozycji art. 222 Ustawy z dnia 14 czerwca 1960 r. Kodeks postępowania administracyjnego (t.j. Dz. U. z 2021 r. poz. 735 , 2052)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Preambuła Wniosku/Petycji*: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Ustawa o efektywności energetycznej ( t.j. Dz. U. z 2021 r. poz. 468), nakłada na Decydentów z Jednostek Sektora Administracji Publicznej - permanentne wdrażanie “środków poprawy efektywności energetycznej” - scilicet art. 6 tejże ustawy, precyzuje katalog obligatoryjnych takich działań, inter alia: realizacja i finansowanie przedsięwzięcia służącego poprawie efektywności energetycznej, nabycie urządzenia, instalacji lub pojazdu, charakteryzujących się niskim zużyciem energii, etc  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Tymczasem kiedy pytaliśmy dwa lata temu Dyrektorów Szkół na terenie kraju - miejscowo właściwych dla danej gminy - o to jaki wdrożyli środek poprawy efektywności energetycznej w ostatnich latach  i gdzie zgodnie z art. 6 ust. 3 tejże ustawy - na swojej stronie Internetowej - Dyrektor informuje o “stosowanych środkach poprawy efektywności energetycznej”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Gros odpowiedzi brzmiało - "nie stosował, nie publikował, etc…” - sci!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Dlatego biorąc pod uwagę powyższe, oraz uzasadniony społecznie - interes pro publico bono, wnosimy: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Osnowa Wniosku: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§1) Na mocy art. 61 Konstytucji RP, w trybie art. 6 ust. 1 pkt. 1 lit c oraz art. 6 ust. 1 pkt. 2 lit. c Ustawy z dnia 6 września o dostępie do informacji publicznej (t.j. Dz. U. z 2020 r.) gdzie Gmina opublikowała informację o stosowanych środkach poprawy efektywności energetycznej - zgodnie z obowiązkiem określonym w art. 6 ust. 3  Ustawy z dnia 15 kwietnia 2011 r. o efektywności energetycznej ( t.j. Dz. U. z 2021 r)  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§1.2) Na mocy art. 61 Konstytucji RP, w trybie art. 6 ust. 1 pkt. 1 lit c oraz art. 6 ust. 1 pkt. 2 lit. c Ustawy z dnia 6 września o dostępie do informacji publicznej (t.j. Dz. U. z 2020 r.)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wnosimy o udzielenie informacji publicznej w przedmiocie dołączenia do udzielonej odpowiedzi odnośnych skanów źródłowych dokumentów księgowych (faktur VAT) za ostatni okres rozliczeniowy - z których wynikać będą koszty jakie poniosła Gmina w zakresie zakupu i dystrybucji energii elektrycznej.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§1.3) Na mocy art. 61 Konstytucji RP, w trybie art. 6 ust. 1 pkt 2 lit. d i pkt. 3   wzmiankowanej Ustawy o dostępie do informacji publicznej (t.j. Dz. U. z 2020 r. poz. 2176) wnosimy o podanie danych kontaktowych Urzędnika (Wydziału lub Spółki Komunalnej),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który w zakresie powierzonych mu zadań i wykonywanych kompetencji nadzoruje sprawy związane coroczną poprawą efektywności energetycznej  - sensu largo   - scilicet:  (Imię i nazwisko, adres do korespondencji e-mail, tel. i stanowisko służbowe Urzędnika)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§1.4) Na mocy wzmiankowanych powyżej przepisów, art. 61 Konstytucji RP, w trybie art. 6 ust. 1 pkt 2 lit. b i f i pkt. 3   wzmiankowanej Ustawy o dostępie do informacji publicznej (t.j. Dz. U. z 2020 r. poz. 2176) wnosimy o udzielenie informacji publicznej -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 kto jest   właścicielem instalacji gazowej właściwej miejscowo dla terenu gminy? (w tym przypadku wnioskodawca ma na myśli nazwę odnośnego Podmiotu/firmy/etc)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Rzeczone  pytanie wnioskodawca uznaje za niezwykle ważkie, w kontekście obecnej sytuacji społeczno gospodarczej.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Zdaniem Wnioskodawcy - właścicielem wzmiankowanej wyżej instalacji powinien być bezwzględnie podmiot realizujący zadania publiczne, działający zgodnie z   państwową strategią bezpieczeństwa energetycznego - najlepiej - Podmiot z udziałem właśności skarbu państwa, etc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Jak ważka jest to tematyka wynika chociażby z ostatnich problemów w Gminie Ustka, Mrozy czy Cegłów - gdzie empiria pokazała jak istotne i brzemienne w skutkach są odnośne decyzje i zagadnienia z punktu widzenia uzasadnionego interesu pro publico bono.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§1.5) Na mocy wzmiankowanych powyżej przepisów, art. 61 Konstytucji RP, w trybie art. 6 ust. 1 pkt 2 lit. c   wzmiankowanej Ustawy o dostępie do informacji publicznej (t.j. Dz. U. z 2020 r. poz. 2176) wnosimy o udzielenie informacji publicznej -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czy  Gmina korzystała/a z modelu Grupy Zakupowej w ramach dokonywanych zakupów energii elektrycznej?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Petycja odrębna: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§2) Na mocy art. 63 Konstytucji RP w związku z art 2 pkt 1, 2 i 3 Ustawy z dnia 11 lipca 2014 r. o petycjach ( tj. Dz.U. 2018 poz. 870) w związku z art. 241 Kodeksu postępowania administracyjnego (t.j. Dz. U. z 2021 r. poz. 735 , 2052) , wnosimy petycję do Kierownika JST o to aby jednym ze środków poprawy efektywności energetycznej wdrożonym przez Gminę w 2022 r. była optymalizacja wydatków związanych kosztami zakupu  energii elektrycznej oraz ewentualna sanacja stanu faktycznego i długofalowe planowanie związane z zagadnieniami poruszanymi przez wnioskodawcę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w §1.4 niniejszego wniosku.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 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en-bloc - w jednym piśmie.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Korespondując z brzmieniem art. 3 ust. 1 pkt. 1 Ustawy z dnia 6 września o dostępie do informacji publicznej (t.j. Dz. U. z 2020 r.) - zdaniem wnioskodawcy - dane te powinny być ad hoc dostępne w Urzędzie, przekazanie ich kopii (skanu) nie wymaga działań związanych z długotrwałym ich przetwarzaniem i dane te   wydają się szczególnie istotne z punktu widzenia interesu publicznego pro publico bono - nawiązując osnowy powyższego wniosku.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§3) Aby zachować pełną jawność i transparentność działań - wnosimy o opublikowanie treści wniosku  na stronie internetowej podmiotu rozpatrującego petycję lub urzędu go obsługującego (Adresata) W tym przypadku prośba jest fakultatywna gdyż - obowiązek taki istnieje jedynie w przypadku petycji. Chcemy działać w pełni jawnie i transparentnie, mamy nadzieję, że Urząd również.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§4) Wnosimy o zwrotne potwierdzenie otrzymania niniejszego wniosku w trybie §7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Rozporządzenia Prezesa Rady Ministrów z dnia 8 stycznia 2002 r. w sprawie organizacji przyjmowania i rozpatrywania s. i wniosków. (Dz. U. z dnia 22 styczna 2002 r. Nr 5, poz. 46) - 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na zwrotny -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 adres e-mail: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poprawa.efektywnosci.energetycznej@samorzad.pl 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§5) Wnosimy o to, aby odpowiedź w  przedmiocie powyższych pytań i petycji złożonych na mocy art. 63 Konstytucji RP - w związku z art.  241 KPA, została udzielona -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zwrotnie 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na adres e-mail poprawa.efektywnosci.energetycznej@samorzad.pl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§6) Wniosek został sygnowany bezpiecznym, kwalifikowanym podpisem elektronicznym - stosownie do wytycznych Ustawy z dnia 5 września 2016 r. o usługach zaufania oraz identyfikacji elektronicznej (t.j. Dz. U. z 2019 r. poz. 162, 1590)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Współwnioskodawca: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Osoba Prawna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Szulc-Efekt sp. z o. o.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Prezes Zarządu - Adam Szulc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ul. Poligonowa 1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04-051 Warszawa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nr KRS: 0000059459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Kapitał Zakładowy: 222.000,00 pln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www.gmina.pl    www.samorzad.pl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Komentarz do Wniosku: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Pomimo, iż w rzeczonym wniosku powołujemy się na art. 241 Ustawy z dnia 14 czerwca 1960 r. Kodeks postępowania administracyjnego (t.j. Dz. U. z 2021 r. poz. 735 , 2052)   -  w naszym mniemaniu - nie oznacza to, że Urząd powinien rozpatrywać niniejsze wnioski w trybie KPA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Zatem - wg. Wnioskodawcy niniejszy wniosek może być jedynie fakultatywnie rozpatrywany - jako optymalizacyjny w związku z art. 241 KPA.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Zatem pomimo formy zewnętrznej - Decydenci mogą/powinni dokonać własnej interpretacji  - zgodnie z brzmieniem art. 222 KPA.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Nazwa Wnioskodawca/Petycjodawca - jest dla uproszczenia stosowna jako synonim nazwy “Podmiot Wnoszący Petycję” - w rozumieniu art. 4 ust. 4 Ustawy o petycjach (Dz.U.2014.1195 z dnia 2014.09.05)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W Jednostkach Pionu Administracji Rządowej - stan faktyczny jest o wiele lepszy.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 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Jeżeli JST nie zgada się z powołanymi przepisami prawa, prosimy aby zastosowano podstawy prawne akceptowane przez JST.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Pamiętajmy również o przepisach zawartych inter alia: w art. 225 KPA: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inter alia z parametrami ofert oraz ceną.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c92bd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LibreOffice/6.4.4.2$Windows_X86_64 LibreOffice_project/3d775be2011f3886db32dfd395a6a6d1ca2630ff</Application>
  <Pages>5</Pages>
  <Words>2259</Words>
  <Characters>13350</Characters>
  <CharactersWithSpaces>15672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2022-05-04T08:47:00Z</dcterms:created>
  <dc:creator>Adam Szulc</dc:creator>
  <dc:description/>
  <dc:language>pl-PL</dc:language>
  <cp:lastModifiedBy>Adam Szulc</cp:lastModifiedBy>
  <dcterms:modified xsi:type="dcterms:W3CDTF">2022-05-04T08:47:00Z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